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5A6F294A" w:rsidR="000B4207" w:rsidRPr="000B4207" w:rsidRDefault="00F22CED"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w:t>
      </w:r>
      <w:r w:rsidR="00DE6B0D">
        <w:rPr>
          <w:rFonts w:ascii="Arial" w:hAnsi="Arial" w:cs="Arial"/>
          <w:b/>
          <w:bCs/>
          <w:sz w:val="24"/>
          <w:szCs w:val="24"/>
        </w:rPr>
        <w:t xml:space="preserve"> Meeting </w:t>
      </w:r>
      <w:r>
        <w:rPr>
          <w:rFonts w:ascii="Arial" w:hAnsi="Arial" w:cs="Arial"/>
          <w:b/>
          <w:bCs/>
          <w:sz w:val="24"/>
          <w:szCs w:val="24"/>
        </w:rPr>
        <w:t>#92</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141204DA">
        <w:rPr>
          <w:rFonts w:ascii="Arial" w:hAnsi="Arial" w:cs="Arial"/>
          <w:b/>
          <w:bCs/>
          <w:sz w:val="24"/>
          <w:szCs w:val="24"/>
        </w:rPr>
        <w:t>R1-</w:t>
      </w:r>
      <w:r w:rsidR="000B4207" w:rsidRPr="00DE6B0D">
        <w:rPr>
          <w:rFonts w:ascii="Arial" w:hAnsi="Arial" w:cs="Arial"/>
          <w:b/>
          <w:bCs/>
          <w:sz w:val="24"/>
          <w:szCs w:val="24"/>
        </w:rPr>
        <w:t>1</w:t>
      </w:r>
      <w:r w:rsidR="0002789E" w:rsidRPr="00DE6B0D">
        <w:rPr>
          <w:rFonts w:ascii="Arial" w:eastAsia="MS Mincho" w:hAnsi="Arial" w:cs="Arial"/>
          <w:b/>
          <w:bCs/>
          <w:sz w:val="24"/>
          <w:szCs w:val="24"/>
          <w:lang w:eastAsia="ja-JP"/>
        </w:rPr>
        <w:t>8</w:t>
      </w:r>
      <w:r w:rsidR="00DE6B0D" w:rsidRPr="00CE0C84">
        <w:rPr>
          <w:rFonts w:ascii="Arial" w:eastAsia="MS Mincho" w:hAnsi="Arial" w:cs="Arial"/>
          <w:b/>
          <w:bCs/>
          <w:sz w:val="24"/>
          <w:szCs w:val="24"/>
          <w:lang w:eastAsia="ja-JP"/>
        </w:rPr>
        <w:t>02544</w:t>
      </w:r>
    </w:p>
    <w:p w14:paraId="3D4EE5DD" w14:textId="0BE86057" w:rsidR="000B4207" w:rsidRPr="008327A9" w:rsidRDefault="00F22CED" w:rsidP="008327A9">
      <w:pPr>
        <w:pStyle w:val="Header"/>
        <w:rPr>
          <w:rFonts w:eastAsia="MS Mincho" w:cs="Arial"/>
          <w:bCs/>
          <w:noProof w:val="0"/>
          <w:sz w:val="24"/>
          <w:lang w:val="en-GB" w:eastAsia="ja-JP"/>
        </w:rPr>
      </w:pPr>
      <w:r>
        <w:rPr>
          <w:rFonts w:eastAsia="MS Mincho" w:cs="Arial"/>
          <w:bCs/>
          <w:noProof w:val="0"/>
          <w:sz w:val="24"/>
          <w:lang w:val="en-GB" w:eastAsia="ja-JP"/>
        </w:rPr>
        <w:t>Athens</w:t>
      </w:r>
      <w:r w:rsidR="008327A9" w:rsidRPr="005601AC">
        <w:rPr>
          <w:rFonts w:eastAsia="MS Mincho" w:cs="Arial"/>
          <w:bCs/>
          <w:noProof w:val="0"/>
          <w:sz w:val="24"/>
          <w:lang w:val="en-GB" w:eastAsia="ja-JP"/>
        </w:rPr>
        <w:t xml:space="preserve">, </w:t>
      </w:r>
      <w:r>
        <w:rPr>
          <w:rFonts w:eastAsia="MS Mincho" w:cs="Arial"/>
          <w:bCs/>
          <w:noProof w:val="0"/>
          <w:sz w:val="24"/>
          <w:lang w:val="en-GB" w:eastAsia="ja-JP"/>
        </w:rPr>
        <w:t>Greece</w:t>
      </w:r>
      <w:r w:rsidR="008327A9" w:rsidRPr="005601AC">
        <w:rPr>
          <w:rFonts w:eastAsia="MS Mincho" w:cs="Arial"/>
          <w:bCs/>
          <w:noProof w:val="0"/>
          <w:sz w:val="24"/>
          <w:lang w:val="en-GB" w:eastAsia="ja-JP"/>
        </w:rPr>
        <w:t xml:space="preserve">, </w:t>
      </w:r>
      <w:r>
        <w:rPr>
          <w:rFonts w:eastAsia="MS Mincho" w:cs="Arial"/>
          <w:bCs/>
          <w:noProof w:val="0"/>
          <w:sz w:val="24"/>
          <w:lang w:val="en-GB" w:eastAsia="ja-JP"/>
        </w:rPr>
        <w:t>February 26</w:t>
      </w:r>
      <w:r w:rsidR="008327A9" w:rsidRPr="0082058C">
        <w:rPr>
          <w:rFonts w:eastAsia="MS Mincho" w:cs="Arial"/>
          <w:bCs/>
          <w:noProof w:val="0"/>
          <w:sz w:val="24"/>
          <w:vertAlign w:val="superscript"/>
          <w:lang w:val="en-GB" w:eastAsia="ja-JP"/>
        </w:rPr>
        <w:t>nd</w:t>
      </w:r>
      <w:r w:rsidR="008327A9">
        <w:rPr>
          <w:rFonts w:eastAsia="MS Mincho" w:cs="Arial"/>
          <w:bCs/>
          <w:noProof w:val="0"/>
          <w:sz w:val="24"/>
          <w:lang w:val="en-GB" w:eastAsia="ja-JP"/>
        </w:rPr>
        <w:t xml:space="preserve"> </w:t>
      </w:r>
      <w:r>
        <w:rPr>
          <w:rFonts w:eastAsia="MS Mincho" w:cs="Arial"/>
          <w:bCs/>
          <w:noProof w:val="0"/>
          <w:sz w:val="24"/>
          <w:lang w:val="en-GB" w:eastAsia="ja-JP"/>
        </w:rPr>
        <w:t>–</w:t>
      </w:r>
      <w:r w:rsidR="008327A9" w:rsidRPr="005601AC">
        <w:rPr>
          <w:rFonts w:eastAsia="MS Mincho" w:cs="Arial"/>
          <w:bCs/>
          <w:noProof w:val="0"/>
          <w:sz w:val="24"/>
          <w:lang w:val="en-GB" w:eastAsia="ja-JP"/>
        </w:rPr>
        <w:t xml:space="preserve"> </w:t>
      </w:r>
      <w:r>
        <w:rPr>
          <w:rFonts w:eastAsia="MS Mincho" w:cs="Arial"/>
          <w:bCs/>
          <w:noProof w:val="0"/>
          <w:sz w:val="24"/>
          <w:lang w:val="en-GB" w:eastAsia="ja-JP"/>
        </w:rPr>
        <w:t>March 2</w:t>
      </w:r>
      <w:r w:rsidRPr="00F22CED">
        <w:rPr>
          <w:rFonts w:eastAsia="MS Mincho" w:cs="Arial"/>
          <w:bCs/>
          <w:noProof w:val="0"/>
          <w:sz w:val="24"/>
          <w:vertAlign w:val="superscript"/>
          <w:lang w:val="en-GB" w:eastAsia="ja-JP"/>
        </w:rPr>
        <w:t>nd</w:t>
      </w:r>
      <w:r w:rsidR="008327A9" w:rsidRPr="005601AC">
        <w:rPr>
          <w:rFonts w:eastAsia="MS Mincho" w:cs="Arial"/>
          <w:bCs/>
          <w:noProof w:val="0"/>
          <w:sz w:val="24"/>
          <w:lang w:val="en-GB" w:eastAsia="ja-JP"/>
        </w:rPr>
        <w:t>, 201</w:t>
      </w:r>
      <w:r w:rsidR="008327A9">
        <w:rPr>
          <w:rFonts w:eastAsia="MS Mincho" w:cs="Arial"/>
          <w:bCs/>
          <w:noProof w:val="0"/>
          <w:sz w:val="24"/>
          <w:lang w:val="en-GB" w:eastAsia="ja-JP"/>
        </w:rPr>
        <w:t>8</w:t>
      </w:r>
    </w:p>
    <w:p w14:paraId="30E02940" w14:textId="77777777" w:rsidR="00CA26CE" w:rsidRPr="0016316A" w:rsidRDefault="00CA26CE" w:rsidP="00CA26CE">
      <w:pPr>
        <w:pStyle w:val="Header"/>
        <w:rPr>
          <w:bCs/>
          <w:noProof w:val="0"/>
          <w:sz w:val="24"/>
          <w:lang w:val="en-GB" w:eastAsia="ja-JP"/>
        </w:rPr>
      </w:pPr>
    </w:p>
    <w:p w14:paraId="30E02941" w14:textId="7ACB0124"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F22CED">
        <w:rPr>
          <w:rFonts w:cs="Arial"/>
          <w:b/>
          <w:bCs/>
          <w:sz w:val="24"/>
          <w:szCs w:val="24"/>
        </w:rPr>
        <w:t>1.</w:t>
      </w:r>
      <w:r w:rsidR="0052773A" w:rsidRPr="3E61DC49">
        <w:rPr>
          <w:rFonts w:cs="Arial"/>
          <w:b/>
          <w:bCs/>
          <w:sz w:val="24"/>
          <w:szCs w:val="24"/>
        </w:rPr>
        <w:t>3.</w:t>
      </w:r>
      <w:r w:rsidR="008327A9">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F29DE3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2CED">
        <w:rPr>
          <w:rFonts w:ascii="Arial" w:hAnsi="Arial" w:cs="Arial"/>
          <w:b/>
          <w:bCs/>
          <w:sz w:val="24"/>
        </w:rPr>
        <w:t>Remaining issues on</w:t>
      </w:r>
      <w:r w:rsidR="008327A9">
        <w:rPr>
          <w:rFonts w:ascii="Arial" w:hAnsi="Arial" w:cs="Arial"/>
          <w:b/>
          <w:bCs/>
          <w:sz w:val="24"/>
        </w:rPr>
        <w:t xml:space="preserve"> UE behaviours </w:t>
      </w:r>
      <w:r w:rsidR="00763A29">
        <w:rPr>
          <w:rFonts w:ascii="Arial" w:hAnsi="Arial" w:cs="Arial"/>
          <w:b/>
          <w:bCs/>
          <w:sz w:val="24"/>
        </w:rPr>
        <w:t>related to</w:t>
      </w:r>
      <w:r w:rsidR="0089036C">
        <w:rPr>
          <w:rFonts w:ascii="Arial" w:hAnsi="Arial" w:cs="Arial"/>
          <w:b/>
          <w:bCs/>
          <w:sz w:val="24"/>
        </w:rPr>
        <w:t xml:space="preserve"> </w:t>
      </w:r>
      <w:r w:rsidR="008327A9">
        <w:rPr>
          <w:rFonts w:ascii="Arial" w:hAnsi="Arial" w:cs="Arial"/>
          <w:b/>
          <w:bCs/>
          <w:sz w:val="24"/>
        </w:rPr>
        <w:t>slot configuration</w:t>
      </w:r>
      <w:r w:rsidR="00AF2770">
        <w:rPr>
          <w:rFonts w:ascii="Arial" w:hAnsi="Arial" w:cs="Arial"/>
          <w:b/>
          <w:bCs/>
          <w:sz w:val="24"/>
          <w:szCs w:val="24"/>
        </w:rPr>
        <w:t xml:space="preserve"> in</w:t>
      </w:r>
      <w:r w:rsidR="00E851FF">
        <w:rPr>
          <w:rFonts w:ascii="Arial" w:hAnsi="Arial" w:cs="Arial"/>
          <w:b/>
          <w:bCs/>
          <w:sz w:val="24"/>
          <w:szCs w:val="24"/>
        </w:rPr>
        <w:t xml:space="preserve"> </w:t>
      </w:r>
      <w:r w:rsidR="00DE5685">
        <w:rPr>
          <w:rFonts w:ascii="Arial" w:hAnsi="Arial" w:cs="Arial"/>
          <w:b/>
          <w:bCs/>
          <w:sz w:val="24"/>
          <w:szCs w:val="24"/>
        </w:rPr>
        <w:t>TS</w:t>
      </w:r>
      <w:r w:rsidR="00F22CED">
        <w:rPr>
          <w:rFonts w:ascii="Arial" w:hAnsi="Arial" w:cs="Arial"/>
          <w:b/>
          <w:bCs/>
          <w:sz w:val="24"/>
          <w:szCs w:val="24"/>
        </w:rPr>
        <w:t xml:space="preserve"> </w:t>
      </w:r>
      <w:r w:rsidR="00E851FF">
        <w:rPr>
          <w:rFonts w:ascii="Arial" w:hAnsi="Arial" w:cs="Arial"/>
          <w:b/>
          <w:bCs/>
          <w:sz w:val="24"/>
          <w:szCs w:val="24"/>
        </w:rPr>
        <w:t>38.21</w:t>
      </w:r>
      <w:r w:rsidR="008327A9">
        <w:rPr>
          <w:rFonts w:ascii="Arial" w:hAnsi="Arial" w:cs="Arial"/>
          <w:b/>
          <w:bCs/>
          <w:sz w:val="24"/>
          <w:szCs w:val="24"/>
        </w:rPr>
        <w:t>3</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09E88899" w:rsidR="00ED1327" w:rsidRPr="00ED1327" w:rsidRDefault="00DE5685" w:rsidP="00ED1327">
      <w:r>
        <w:rPr>
          <w:rFonts w:eastAsia="Times New Roman"/>
        </w:rPr>
        <w:t>During RAN plenary #78, the first version of release 15 NR specifications were approved.</w:t>
      </w:r>
      <w:r w:rsidR="00763A29">
        <w:rPr>
          <w:rFonts w:eastAsia="Times New Roman"/>
        </w:rPr>
        <w:t xml:space="preserve"> CRs were further agreed </w:t>
      </w:r>
      <w:r w:rsidR="005D320D">
        <w:rPr>
          <w:rFonts w:eastAsia="Times New Roman"/>
        </w:rPr>
        <w:t>in January 2018 ad hoc meeting, and the latest specifications were endorsed.</w:t>
      </w:r>
      <w:r>
        <w:rPr>
          <w:rFonts w:eastAsia="Times New Roman"/>
        </w:rPr>
        <w:t xml:space="preserve"> In this contribution, we discuss </w:t>
      </w:r>
      <w:r w:rsidR="00763A29">
        <w:rPr>
          <w:rFonts w:eastAsia="Times New Roman"/>
        </w:rPr>
        <w:t>some</w:t>
      </w:r>
      <w:r>
        <w:rPr>
          <w:rFonts w:eastAsia="Times New Roman"/>
        </w:rPr>
        <w:t xml:space="preserve"> </w:t>
      </w:r>
      <w:r w:rsidR="00763A29">
        <w:rPr>
          <w:rFonts w:eastAsia="Times New Roman"/>
        </w:rPr>
        <w:t xml:space="preserve">remaining </w:t>
      </w:r>
      <w:r w:rsidR="006D4B93">
        <w:rPr>
          <w:rFonts w:eastAsia="Times New Roman"/>
        </w:rPr>
        <w:t xml:space="preserve">issues </w:t>
      </w:r>
      <w:r w:rsidR="00763A29">
        <w:rPr>
          <w:rFonts w:eastAsia="Times New Roman"/>
        </w:rPr>
        <w:t>on</w:t>
      </w:r>
      <w:r>
        <w:rPr>
          <w:rFonts w:eastAsia="Times New Roman"/>
        </w:rPr>
        <w:t xml:space="preserve"> the UE beha</w:t>
      </w:r>
      <w:r w:rsidR="006D4B93">
        <w:rPr>
          <w:rFonts w:eastAsia="Times New Roman"/>
        </w:rPr>
        <w:t xml:space="preserve">viors </w:t>
      </w:r>
      <w:r w:rsidR="00763A29">
        <w:rPr>
          <w:rFonts w:eastAsia="Times New Roman"/>
        </w:rPr>
        <w:t>related to</w:t>
      </w:r>
      <w:r w:rsidR="006D4B93">
        <w:rPr>
          <w:rFonts w:eastAsia="Times New Roman"/>
        </w:rPr>
        <w:t xml:space="preserve"> slot configuration</w:t>
      </w:r>
      <w:r w:rsidR="006407BF">
        <w:rPr>
          <w:rFonts w:eastAsia="Times New Roman"/>
        </w:rPr>
        <w:t>/</w:t>
      </w:r>
      <w:r w:rsidR="006D4B93">
        <w:rPr>
          <w:rFonts w:eastAsia="Times New Roman"/>
        </w:rPr>
        <w:t xml:space="preserve">format </w:t>
      </w:r>
      <w:r w:rsidR="002F4D51">
        <w:rPr>
          <w:rFonts w:eastAsia="Times New Roman"/>
        </w:rPr>
        <w:t xml:space="preserve">(subclause 11.1) </w:t>
      </w:r>
      <w:r w:rsidR="006D4B93">
        <w:rPr>
          <w:rFonts w:eastAsia="Times New Roman"/>
        </w:rPr>
        <w:t>in TS38.213.</w:t>
      </w:r>
    </w:p>
    <w:p w14:paraId="30E0296E" w14:textId="5A3560E0" w:rsidR="004B23AD" w:rsidRDefault="008D4B8A" w:rsidP="004B23AD">
      <w:pPr>
        <w:pStyle w:val="Heading1"/>
        <w:rPr>
          <w:color w:val="000000"/>
        </w:rPr>
      </w:pPr>
      <w:r>
        <w:rPr>
          <w:color w:val="000000"/>
        </w:rPr>
        <w:t>2</w:t>
      </w:r>
      <w:r w:rsidR="004B23AD" w:rsidRPr="00A51522">
        <w:rPr>
          <w:color w:val="000000"/>
        </w:rPr>
        <w:tab/>
      </w:r>
      <w:r w:rsidR="005D320D">
        <w:rPr>
          <w:color w:val="000000"/>
        </w:rPr>
        <w:t>Behavior related to dynamic SFI</w:t>
      </w:r>
      <w:bookmarkStart w:id="0" w:name="_GoBack"/>
      <w:bookmarkEnd w:id="0"/>
    </w:p>
    <w:p w14:paraId="3F1A1AEC" w14:textId="4BE09ADB" w:rsidR="005D320D" w:rsidRDefault="005D320D" w:rsidP="00E851FF">
      <w:r>
        <w:t>One of the remaining issue is the UE behaviour when dynamic SFI is not received for the flexible symbols in the semi-static UL-DL configuration</w:t>
      </w:r>
      <w:r w:rsidR="00D22029">
        <w:t>. Although it was agreed that the UE should still monitor PDCCH, it has not been agreed</w:t>
      </w:r>
      <w:r w:rsidR="008D4D68">
        <w:t xml:space="preserve"> yet</w:t>
      </w:r>
      <w:r w:rsidR="00D22029">
        <w:t xml:space="preserve"> what the UE should do with the “measurements” (i.e. the RRC configured reception/measurement/transmission).</w:t>
      </w:r>
    </w:p>
    <w:p w14:paraId="02A1A7AB" w14:textId="669E0347" w:rsidR="003E17CD" w:rsidRDefault="003E17CD" w:rsidP="00E851FF">
      <w:r>
        <w:t xml:space="preserve">When </w:t>
      </w:r>
      <w:r w:rsidR="00AD2BC4">
        <w:t>dynamic SFI is configured but not received, there are two possibilities:</w:t>
      </w:r>
    </w:p>
    <w:p w14:paraId="0736AA52" w14:textId="77777777" w:rsidR="00E81592" w:rsidRPr="00AD2BC4" w:rsidRDefault="00E81592" w:rsidP="00E81592">
      <w:pPr>
        <w:pStyle w:val="ListParagraph"/>
        <w:numPr>
          <w:ilvl w:val="0"/>
          <w:numId w:val="16"/>
        </w:numPr>
        <w:rPr>
          <w:sz w:val="20"/>
        </w:rPr>
      </w:pPr>
      <w:r w:rsidRPr="00AD2BC4">
        <w:rPr>
          <w:sz w:val="20"/>
        </w:rPr>
        <w:t>the gNB did not transmit it</w:t>
      </w:r>
    </w:p>
    <w:p w14:paraId="6E4F8AF5" w14:textId="77777777" w:rsidR="00FD7F71" w:rsidRPr="00AD2BC4" w:rsidRDefault="00FD7F71" w:rsidP="00FD7F71">
      <w:pPr>
        <w:pStyle w:val="ListParagraph"/>
        <w:numPr>
          <w:ilvl w:val="0"/>
          <w:numId w:val="16"/>
        </w:numPr>
        <w:rPr>
          <w:sz w:val="20"/>
        </w:rPr>
      </w:pPr>
      <w:r w:rsidRPr="00AD2BC4">
        <w:rPr>
          <w:sz w:val="20"/>
        </w:rPr>
        <w:t>the UE was not able to successfully decode SFI</w:t>
      </w:r>
    </w:p>
    <w:p w14:paraId="426AEB39" w14:textId="2C59F11C" w:rsidR="00370C08" w:rsidRPr="00AD2BC4" w:rsidRDefault="00E81592" w:rsidP="00AD2BC4">
      <w:pPr>
        <w:rPr>
          <w:lang w:val="fi-FI"/>
        </w:rPr>
      </w:pPr>
      <w:r>
        <w:rPr>
          <w:lang w:val="fi-FI"/>
        </w:rPr>
        <w:t>The first</w:t>
      </w:r>
      <w:r w:rsidR="00370C08">
        <w:rPr>
          <w:lang w:val="fi-FI"/>
        </w:rPr>
        <w:t xml:space="preserve"> case is the gNB implementation issue, and proper implementation can always be </w:t>
      </w:r>
      <w:r>
        <w:rPr>
          <w:lang w:val="fi-FI"/>
        </w:rPr>
        <w:t>done</w:t>
      </w:r>
      <w:r w:rsidR="00370C08">
        <w:rPr>
          <w:lang w:val="fi-FI"/>
        </w:rPr>
        <w:t xml:space="preserve"> after the UE behavior is defined. So this is not a</w:t>
      </w:r>
      <w:r w:rsidR="00533BF8">
        <w:rPr>
          <w:lang w:val="fi-FI"/>
        </w:rPr>
        <w:t xml:space="preserve"> a </w:t>
      </w:r>
      <w:r w:rsidR="00DA3E25">
        <w:rPr>
          <w:lang w:val="fi-FI"/>
        </w:rPr>
        <w:t>critical</w:t>
      </w:r>
      <w:r w:rsidR="00370C08">
        <w:rPr>
          <w:lang w:val="fi-FI"/>
        </w:rPr>
        <w:t xml:space="preserve"> factor </w:t>
      </w:r>
      <w:r>
        <w:rPr>
          <w:lang w:val="fi-FI"/>
        </w:rPr>
        <w:t>to consider</w:t>
      </w:r>
      <w:r w:rsidR="00370C08">
        <w:rPr>
          <w:lang w:val="fi-FI"/>
        </w:rPr>
        <w:t>.</w:t>
      </w:r>
    </w:p>
    <w:p w14:paraId="5D0A9304" w14:textId="4BEB7042" w:rsidR="00E81592" w:rsidRDefault="00E81592" w:rsidP="00E81592">
      <w:pPr>
        <w:rPr>
          <w:lang w:val="fi-FI"/>
        </w:rPr>
      </w:pPr>
      <w:r>
        <w:rPr>
          <w:lang w:val="fi-FI"/>
        </w:rPr>
        <w:t xml:space="preserve">For the second case, if the UE was not able to decode SFI, the UE does not know whether a symbol is DL or UL or flexible. If the UE continues with the measurements, it may perform incorrect measurements on DL or transmit UL when it is actually DL. Both are undesirable behavior. Therefore, the preferred UE behavior is for UE to cancel all the </w:t>
      </w:r>
      <w:r w:rsidR="00735125">
        <w:t>“</w:t>
      </w:r>
      <w:r>
        <w:rPr>
          <w:lang w:val="fi-FI"/>
        </w:rPr>
        <w:t>measurements</w:t>
      </w:r>
      <w:r w:rsidR="00735125">
        <w:t>”</w:t>
      </w:r>
      <w:r>
        <w:rPr>
          <w:lang w:val="fi-FI"/>
        </w:rPr>
        <w:t>.</w:t>
      </w:r>
    </w:p>
    <w:p w14:paraId="0E57D09A" w14:textId="2FB3C902" w:rsidR="00E81592" w:rsidRDefault="00735125" w:rsidP="00E81592">
      <w:pPr>
        <w:rPr>
          <w:lang w:val="fi-FI"/>
        </w:rPr>
      </w:pPr>
      <w:r>
        <w:rPr>
          <w:lang w:val="fi-FI"/>
        </w:rPr>
        <w:t xml:space="preserve">Cancelling the </w:t>
      </w:r>
      <w:r>
        <w:t>“</w:t>
      </w:r>
      <w:r>
        <w:rPr>
          <w:lang w:val="fi-FI"/>
        </w:rPr>
        <w:t>measurements</w:t>
      </w:r>
      <w:r>
        <w:t xml:space="preserve">” is also more aligned with the spirit of dynamic TDD. To give the gNB the maximum freedom to schedule DL and UL, it is </w:t>
      </w:r>
      <w:r w:rsidR="0018218E">
        <w:t xml:space="preserve">safer for the UE to assume the transmission direction is unknown when it does not </w:t>
      </w:r>
      <w:r w:rsidR="00DA3E25">
        <w:t>receive any information</w:t>
      </w:r>
      <w:r w:rsidR="0018218E">
        <w:t>.</w:t>
      </w:r>
      <w:r>
        <w:rPr>
          <w:lang w:val="fi-FI"/>
        </w:rPr>
        <w:t xml:space="preserve"> </w:t>
      </w:r>
      <w:r w:rsidR="00DA3E25">
        <w:rPr>
          <w:lang w:val="fi-FI"/>
        </w:rPr>
        <w:t>Due to this maximum flexibility</w:t>
      </w:r>
      <w:r w:rsidR="0018218E">
        <w:rPr>
          <w:lang w:val="fi-FI"/>
        </w:rPr>
        <w:t>, it has the</w:t>
      </w:r>
      <w:r w:rsidR="00E81592">
        <w:rPr>
          <w:lang w:val="fi-FI"/>
        </w:rPr>
        <w:t xml:space="preserve"> advantage that it can be easily extended to</w:t>
      </w:r>
      <w:r w:rsidR="00210080">
        <w:rPr>
          <w:lang w:val="fi-FI"/>
        </w:rPr>
        <w:t xml:space="preserve"> be used in</w:t>
      </w:r>
      <w:r w:rsidR="00E81592">
        <w:rPr>
          <w:lang w:val="fi-FI"/>
        </w:rPr>
        <w:t xml:space="preserve"> unlicensed </w:t>
      </w:r>
      <w:r w:rsidR="00210080">
        <w:rPr>
          <w:lang w:val="fi-FI"/>
        </w:rPr>
        <w:t>access design. In unlicensed access, the gNB sometimes cannot access the channel and cannot transmit SFI or any other signal, and in this case the UE should not do measurements.</w:t>
      </w:r>
    </w:p>
    <w:p w14:paraId="771223E6" w14:textId="4E4DBA31" w:rsidR="00210080" w:rsidRPr="00CE536D" w:rsidRDefault="00210080" w:rsidP="00E81592">
      <w:pPr>
        <w:rPr>
          <w:b/>
          <w:lang w:val="fi-FI"/>
        </w:rPr>
      </w:pPr>
      <w:r w:rsidRPr="00056454">
        <w:rPr>
          <w:b/>
          <w:lang w:val="fi-FI"/>
        </w:rPr>
        <w:t xml:space="preserve">Proposal 1: </w:t>
      </w:r>
      <w:r w:rsidR="00056454" w:rsidRPr="00056454">
        <w:rPr>
          <w:b/>
          <w:lang w:val="fi-FI"/>
        </w:rPr>
        <w:t>For flexible symbols in semi-static UL-DL configuration, w</w:t>
      </w:r>
      <w:r w:rsidRPr="00056454">
        <w:rPr>
          <w:b/>
          <w:lang w:val="fi-FI"/>
        </w:rPr>
        <w:t>hen a UE is configured to monitor</w:t>
      </w:r>
      <w:r w:rsidR="00056454" w:rsidRPr="00056454">
        <w:rPr>
          <w:b/>
          <w:lang w:val="fi-FI"/>
        </w:rPr>
        <w:t xml:space="preserve"> SFI but does not receive a SFI</w:t>
      </w:r>
      <w:r w:rsidR="005E7B95">
        <w:rPr>
          <w:b/>
          <w:lang w:val="fi-FI"/>
        </w:rPr>
        <w:t xml:space="preserve"> for these symbols</w:t>
      </w:r>
      <w:r w:rsidR="00056454" w:rsidRPr="00056454">
        <w:rPr>
          <w:b/>
          <w:lang w:val="fi-FI"/>
        </w:rPr>
        <w:t xml:space="preserve">, the UE </w:t>
      </w:r>
      <w:r w:rsidR="00056454" w:rsidRPr="00CE536D">
        <w:rPr>
          <w:b/>
          <w:lang w:val="fi-FI"/>
        </w:rPr>
        <w:t xml:space="preserve">shall cancel all the </w:t>
      </w:r>
      <w:r w:rsidR="00533BF8" w:rsidRPr="00CE0C84">
        <w:rPr>
          <w:b/>
        </w:rPr>
        <w:t>“</w:t>
      </w:r>
      <w:r w:rsidR="00056454" w:rsidRPr="00CE536D">
        <w:rPr>
          <w:b/>
          <w:lang w:val="fi-FI"/>
        </w:rPr>
        <w:t>measurements</w:t>
      </w:r>
      <w:r w:rsidR="00533BF8" w:rsidRPr="00CE0C84">
        <w:rPr>
          <w:b/>
        </w:rPr>
        <w:t>”</w:t>
      </w:r>
      <w:r w:rsidR="00DE6B0D" w:rsidRPr="00CE0C84">
        <w:rPr>
          <w:b/>
        </w:rPr>
        <w:t xml:space="preserve"> in these symbols</w:t>
      </w:r>
      <w:r w:rsidR="00056454" w:rsidRPr="00CE536D">
        <w:rPr>
          <w:b/>
          <w:lang w:val="fi-FI"/>
        </w:rPr>
        <w:t>.</w:t>
      </w:r>
    </w:p>
    <w:p w14:paraId="2B910B24" w14:textId="671C83FA" w:rsidR="00D22029" w:rsidRDefault="00E77774" w:rsidP="00D22029">
      <w:pPr>
        <w:pStyle w:val="Heading1"/>
        <w:rPr>
          <w:color w:val="000000"/>
        </w:rPr>
      </w:pPr>
      <w:r>
        <w:rPr>
          <w:color w:val="000000"/>
        </w:rPr>
        <w:t>3</w:t>
      </w:r>
      <w:r w:rsidR="00D22029" w:rsidRPr="00A51522">
        <w:rPr>
          <w:color w:val="000000"/>
        </w:rPr>
        <w:tab/>
      </w:r>
      <w:r>
        <w:rPr>
          <w:color w:val="000000"/>
        </w:rPr>
        <w:t>Discussion on SSB</w:t>
      </w:r>
    </w:p>
    <w:p w14:paraId="709EB1E6" w14:textId="7385C5B6" w:rsidR="007D23D2" w:rsidRDefault="008A2FDE" w:rsidP="00E851FF">
      <w:r>
        <w:t>In our opinion, t</w:t>
      </w:r>
      <w:r w:rsidR="007D23D2">
        <w:t>he handling of SSB needs some further discussion.</w:t>
      </w:r>
      <w:r w:rsidR="00197B29">
        <w:t xml:space="preserve"> The previous agreement on SSB handling </w:t>
      </w:r>
      <w:r w:rsidR="00CA4DCC">
        <w:t>was:</w:t>
      </w:r>
    </w:p>
    <w:p w14:paraId="660D27F7" w14:textId="77777777" w:rsidR="00CB6509" w:rsidRPr="00CB6509" w:rsidRDefault="00CB6509" w:rsidP="004073D6">
      <w:pPr>
        <w:spacing w:after="0"/>
        <w:ind w:left="284"/>
        <w:rPr>
          <w:rFonts w:ascii="Times" w:eastAsia="Batang" w:hAnsi="Times"/>
          <w:sz w:val="18"/>
          <w:lang w:eastAsia="x-none"/>
        </w:rPr>
      </w:pPr>
      <w:r w:rsidRPr="00CB6509">
        <w:rPr>
          <w:rFonts w:ascii="Times" w:eastAsia="Batang" w:hAnsi="Times"/>
          <w:sz w:val="18"/>
          <w:highlight w:val="green"/>
          <w:lang w:eastAsia="x-none"/>
        </w:rPr>
        <w:t>Agreements</w:t>
      </w:r>
      <w:r w:rsidRPr="00CB6509">
        <w:rPr>
          <w:rFonts w:ascii="Times" w:eastAsia="Batang" w:hAnsi="Times"/>
          <w:sz w:val="18"/>
          <w:lang w:eastAsia="x-none"/>
        </w:rPr>
        <w:t>:</w:t>
      </w:r>
    </w:p>
    <w:p w14:paraId="21C32C50" w14:textId="77777777" w:rsidR="00CB6509" w:rsidRPr="004073D6" w:rsidRDefault="00CB6509" w:rsidP="004073D6">
      <w:pPr>
        <w:widowControl w:val="0"/>
        <w:numPr>
          <w:ilvl w:val="0"/>
          <w:numId w:val="3"/>
        </w:numPr>
        <w:tabs>
          <w:tab w:val="left" w:pos="720"/>
        </w:tabs>
        <w:overflowPunct/>
        <w:autoSpaceDE/>
        <w:autoSpaceDN/>
        <w:adjustRightInd/>
        <w:spacing w:after="0"/>
        <w:ind w:left="1004"/>
        <w:contextualSpacing/>
        <w:jc w:val="both"/>
        <w:textAlignment w:val="auto"/>
        <w:rPr>
          <w:rFonts w:ascii="Arial" w:hAnsi="Arial" w:cs="Arial"/>
          <w:sz w:val="18"/>
        </w:rPr>
      </w:pPr>
      <w:r w:rsidRPr="004073D6">
        <w:rPr>
          <w:rFonts w:ascii="Arial" w:hAnsi="Arial" w:cs="Arial"/>
          <w:sz w:val="18"/>
        </w:rPr>
        <w:t>On SSB transmission</w:t>
      </w:r>
    </w:p>
    <w:p w14:paraId="5787BD05" w14:textId="77777777" w:rsidR="00CB6509" w:rsidRPr="004073D6" w:rsidRDefault="00CB6509" w:rsidP="004073D6">
      <w:pPr>
        <w:widowControl w:val="0"/>
        <w:numPr>
          <w:ilvl w:val="1"/>
          <w:numId w:val="3"/>
        </w:numPr>
        <w:tabs>
          <w:tab w:val="left" w:pos="720"/>
        </w:tabs>
        <w:overflowPunct/>
        <w:autoSpaceDE/>
        <w:autoSpaceDN/>
        <w:adjustRightInd/>
        <w:spacing w:after="0"/>
        <w:ind w:left="1724"/>
        <w:contextualSpacing/>
        <w:jc w:val="both"/>
        <w:textAlignment w:val="auto"/>
        <w:rPr>
          <w:rFonts w:ascii="Arial" w:hAnsi="Arial" w:cs="Arial"/>
          <w:sz w:val="18"/>
        </w:rPr>
      </w:pPr>
      <w:r w:rsidRPr="004073D6">
        <w:rPr>
          <w:rFonts w:ascii="Arial" w:hAnsi="Arial" w:cs="Arial"/>
          <w:sz w:val="18"/>
        </w:rPr>
        <w:t>SSB transmission can happen in semi-static DL</w:t>
      </w:r>
    </w:p>
    <w:p w14:paraId="0D6B5F5B" w14:textId="77777777" w:rsidR="00CB6509" w:rsidRPr="004073D6" w:rsidRDefault="00CB6509" w:rsidP="004073D6">
      <w:pPr>
        <w:widowControl w:val="0"/>
        <w:numPr>
          <w:ilvl w:val="1"/>
          <w:numId w:val="3"/>
        </w:numPr>
        <w:tabs>
          <w:tab w:val="left" w:pos="720"/>
        </w:tabs>
        <w:overflowPunct/>
        <w:autoSpaceDE/>
        <w:autoSpaceDN/>
        <w:adjustRightInd/>
        <w:spacing w:after="0"/>
        <w:ind w:left="1724"/>
        <w:contextualSpacing/>
        <w:jc w:val="both"/>
        <w:textAlignment w:val="auto"/>
        <w:rPr>
          <w:rFonts w:ascii="Arial" w:hAnsi="Arial" w:cs="Arial"/>
          <w:sz w:val="18"/>
        </w:rPr>
      </w:pPr>
      <w:r w:rsidRPr="004073D6">
        <w:rPr>
          <w:rFonts w:ascii="Arial" w:hAnsi="Arial" w:cs="Arial"/>
          <w:sz w:val="18"/>
        </w:rPr>
        <w:t>SSB transmission can happen in semi-static unknown</w:t>
      </w:r>
    </w:p>
    <w:p w14:paraId="6B35E72B" w14:textId="77777777" w:rsidR="00CB6509" w:rsidRPr="00EF5B53" w:rsidRDefault="00CB6509" w:rsidP="004073D6">
      <w:pPr>
        <w:widowControl w:val="0"/>
        <w:numPr>
          <w:ilvl w:val="2"/>
          <w:numId w:val="3"/>
        </w:numPr>
        <w:tabs>
          <w:tab w:val="left" w:pos="720"/>
        </w:tabs>
        <w:overflowPunct/>
        <w:autoSpaceDE/>
        <w:autoSpaceDN/>
        <w:adjustRightInd/>
        <w:spacing w:after="0"/>
        <w:ind w:left="2444"/>
        <w:contextualSpacing/>
        <w:jc w:val="both"/>
        <w:textAlignment w:val="auto"/>
        <w:rPr>
          <w:rFonts w:ascii="Arial" w:hAnsi="Arial" w:cs="Arial"/>
        </w:rPr>
      </w:pPr>
      <w:r w:rsidRPr="004073D6">
        <w:rPr>
          <w:rFonts w:ascii="Arial" w:hAnsi="Arial" w:cs="Arial"/>
          <w:sz w:val="18"/>
        </w:rPr>
        <w:t>Symbols configured to transmit SSB cannot be overwritten to UL</w:t>
      </w:r>
    </w:p>
    <w:p w14:paraId="25BC6F17" w14:textId="77777777" w:rsidR="004073D6" w:rsidRDefault="004073D6" w:rsidP="00E851FF"/>
    <w:p w14:paraId="34166576" w14:textId="1F331730" w:rsidR="0080780F" w:rsidRDefault="00654CBC" w:rsidP="00E851FF">
      <w:r>
        <w:t>This implies that SSB symbols should not be configured as semi-static UL.</w:t>
      </w:r>
      <w:r w:rsidR="0080780F">
        <w:t xml:space="preserve"> However, this can create </w:t>
      </w:r>
      <w:r w:rsidR="0016100A">
        <w:t>significant restriction for the semi-static UL/DL configuration, given that the periodicity of SSB can be much larger than the periodicity of UL/DL configuration</w:t>
      </w:r>
      <w:r w:rsidR="00415D7A">
        <w:t>, and sometimes is not even a multiple of the periodicity for UL/DL configuration</w:t>
      </w:r>
      <w:r w:rsidR="0016100A">
        <w:t>.</w:t>
      </w:r>
      <w:r w:rsidR="00FE6C7A" w:rsidRPr="00FE6C7A">
        <w:t xml:space="preserve"> </w:t>
      </w:r>
      <w:r w:rsidR="00FE6C7A">
        <w:t xml:space="preserve">If </w:t>
      </w:r>
      <w:r w:rsidR="00FE6C7A">
        <w:lastRenderedPageBreak/>
        <w:t xml:space="preserve">only DL/unknown is allowed, the UL/DL configuration could be either </w:t>
      </w:r>
      <w:r w:rsidR="00415D7A">
        <w:t xml:space="preserve">very </w:t>
      </w:r>
      <w:r w:rsidR="00FE6C7A">
        <w:t>restrictive (if all/most SSB symbols are set as DL), or too little information (if all/most SSB symbols are set as flexible).</w:t>
      </w:r>
      <w:r w:rsidR="00345B27">
        <w:t xml:space="preserve"> Here are a few examples</w:t>
      </w:r>
    </w:p>
    <w:p w14:paraId="58E4A246" w14:textId="6903DBF6" w:rsidR="0016100A" w:rsidRDefault="0016100A" w:rsidP="00E851FF">
      <w:r w:rsidRPr="00975DDA">
        <w:rPr>
          <w:b/>
          <w:u w:val="single"/>
        </w:rPr>
        <w:t>Example 1</w:t>
      </w:r>
      <w:r>
        <w:t xml:space="preserve">: </w:t>
      </w:r>
      <w:r w:rsidR="002F503B">
        <w:t xml:space="preserve">SCS = 120KHz, SSB periodicity = 20 ms, </w:t>
      </w:r>
      <w:r w:rsidR="00772839">
        <w:t xml:space="preserve">periodicity for semi-static UL/DL configuration = </w:t>
      </w:r>
      <w:r w:rsidR="005D1B7F">
        <w:t>2.</w:t>
      </w:r>
      <w:r w:rsidR="00772839">
        <w:t>5 ms, 64 beams</w:t>
      </w:r>
    </w:p>
    <w:p w14:paraId="3DA0CDE6" w14:textId="060D4E87" w:rsidR="00345B27" w:rsidRDefault="00345B27" w:rsidP="0067258D">
      <w:pPr>
        <w:jc w:val="center"/>
      </w:pPr>
    </w:p>
    <w:p w14:paraId="4D4B9998" w14:textId="45BEFAA8" w:rsidR="00F0562C" w:rsidRDefault="00380D1A" w:rsidP="0067258D">
      <w:pPr>
        <w:jc w:val="center"/>
      </w:pPr>
      <w:r w:rsidRPr="00380D1A">
        <w:drawing>
          <wp:inline distT="0" distB="0" distL="0" distR="0" wp14:anchorId="5F585213" wp14:editId="504D1948">
            <wp:extent cx="6120765" cy="2211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11678"/>
                    </a:xfrm>
                    <a:prstGeom prst="rect">
                      <a:avLst/>
                    </a:prstGeom>
                    <a:noFill/>
                    <a:ln>
                      <a:noFill/>
                    </a:ln>
                  </pic:spPr>
                </pic:pic>
              </a:graphicData>
            </a:graphic>
          </wp:inline>
        </w:drawing>
      </w:r>
    </w:p>
    <w:p w14:paraId="070D5D87" w14:textId="151C082C" w:rsidR="0067258D" w:rsidRDefault="0067258D" w:rsidP="0067258D">
      <w:pPr>
        <w:jc w:val="center"/>
      </w:pPr>
      <w:r>
        <w:t>Figure 1 SSB locations for SCS = 120KHz, SSB periodicity = 20 ms</w:t>
      </w:r>
      <w:r w:rsidR="0073084B">
        <w:t>, periodicity for semi-static UL/DL configuration = 2.5 ms</w:t>
      </w:r>
      <w:r>
        <w:t xml:space="preserve"> and 64 beams</w:t>
      </w:r>
    </w:p>
    <w:p w14:paraId="0F1E9F1C" w14:textId="77777777" w:rsidR="0073084B" w:rsidRDefault="003D1DF6" w:rsidP="009B7BF9">
      <w:r>
        <w:t>In this case, SSBs are carried in slots {0-7, 10-17, 20-27, 30-37}</w:t>
      </w:r>
      <w:r w:rsidR="0073084B">
        <w:t>.</w:t>
      </w:r>
    </w:p>
    <w:p w14:paraId="0CB60FD8" w14:textId="0E0311A6" w:rsidR="00345B27" w:rsidRDefault="003D1DF6" w:rsidP="009B7BF9">
      <w:r>
        <w:t xml:space="preserve">If the gNB chooses to set all </w:t>
      </w:r>
      <w:r w:rsidR="005D101E">
        <w:t xml:space="preserve">SSB symbols as DL, with 1 DL-UL switching within 5 ms, only the last 2 slots out of the </w:t>
      </w:r>
      <w:r w:rsidR="00380D1A">
        <w:t>2</w:t>
      </w:r>
      <w:r w:rsidR="005D101E">
        <w:t>0 slots can be set as UL.</w:t>
      </w:r>
      <w:r w:rsidR="0073084B">
        <w:t xml:space="preserve"> This is shown as semi-static configuration 1 in </w:t>
      </w:r>
      <w:r w:rsidR="002C5B5D">
        <w:t>F</w:t>
      </w:r>
      <w:r w:rsidR="0073084B">
        <w:t>igure</w:t>
      </w:r>
      <w:r w:rsidR="002C5B5D">
        <w:t xml:space="preserve"> 1</w:t>
      </w:r>
      <w:r w:rsidR="0073084B">
        <w:t xml:space="preserve"> (the GP is not explicitly shown for simplicity). The DL to UL ratio is 9:1</w:t>
      </w:r>
      <w:r w:rsidR="002C5B5D">
        <w:t>, which is very high</w:t>
      </w:r>
      <w:r w:rsidR="0073084B">
        <w:t>.</w:t>
      </w:r>
    </w:p>
    <w:p w14:paraId="303148D8" w14:textId="469DEEA0" w:rsidR="0073084B" w:rsidRDefault="0073084B" w:rsidP="009B7BF9">
      <w:r>
        <w:t>If the gNB want to use a lower DL to UL ratio</w:t>
      </w:r>
      <w:r w:rsidR="002C5B5D">
        <w:t>, e.g. 6:4 as one of the typical scenarios, the gNB needs to configure with some flexible symbols. This can be achieved using the semi-static configuration 2 in Figure 1. The ratio of DL : flexible : UL is 12:6:2. So in order to accommodate SSB, the gNB has to set 6 flexible slots unnecessarily out of every 20 slots (~30%)</w:t>
      </w:r>
      <w:r w:rsidR="00CD4F56">
        <w:t xml:space="preserve">. </w:t>
      </w:r>
      <w:r w:rsidR="00487CC1">
        <w:t xml:space="preserve">The higher the UL ratio is, more flexible slots/symbols are needed. </w:t>
      </w:r>
      <w:r w:rsidR="00CD4F56">
        <w:t>This reduces the efficiency/effectiveness of semi-static configuration.</w:t>
      </w:r>
    </w:p>
    <w:p w14:paraId="57489388" w14:textId="22740ACE" w:rsidR="00CD4F56" w:rsidRDefault="00CD4F56" w:rsidP="009B7BF9">
      <w:r w:rsidRPr="00975DDA">
        <w:rPr>
          <w:b/>
          <w:u w:val="single"/>
        </w:rPr>
        <w:t>Example 2</w:t>
      </w:r>
      <w:r>
        <w:t>: SCS = 30KHz, SSB periodicity = 5 ms, periodicity for semi-static UL/DL configuration = 2 ms, 4 beams</w:t>
      </w:r>
    </w:p>
    <w:p w14:paraId="58CF5820" w14:textId="3EF46FE8" w:rsidR="00B31667" w:rsidRDefault="00B31667" w:rsidP="009B7BF9">
      <w:r w:rsidRPr="00B31667">
        <w:rPr>
          <w:noProof/>
        </w:rPr>
        <w:drawing>
          <wp:inline distT="0" distB="0" distL="0" distR="0" wp14:anchorId="687AAA96" wp14:editId="514E2BD5">
            <wp:extent cx="6115050" cy="2000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000250"/>
                    </a:xfrm>
                    <a:prstGeom prst="rect">
                      <a:avLst/>
                    </a:prstGeom>
                    <a:noFill/>
                    <a:ln>
                      <a:noFill/>
                    </a:ln>
                  </pic:spPr>
                </pic:pic>
              </a:graphicData>
            </a:graphic>
          </wp:inline>
        </w:drawing>
      </w:r>
    </w:p>
    <w:p w14:paraId="2701EA8D" w14:textId="1E155266" w:rsidR="00162A09" w:rsidRDefault="00162A09" w:rsidP="00162A09">
      <w:pPr>
        <w:jc w:val="center"/>
      </w:pPr>
      <w:r>
        <w:t xml:space="preserve">Figure </w:t>
      </w:r>
      <w:r w:rsidR="00682542">
        <w:t>2</w:t>
      </w:r>
      <w:r>
        <w:t xml:space="preserve"> SSB locations for SCS = 30KHz, SSB periodicity = 5 ms, periodicity for semi-static UL/DL configuration = 2 ms and 4 beams</w:t>
      </w:r>
    </w:p>
    <w:p w14:paraId="42109BB4" w14:textId="16D09A9C" w:rsidR="0067258D" w:rsidRDefault="00940832" w:rsidP="009B7BF9">
      <w:r>
        <w:t>In this case, SSBs are carried in slots {0, 1, 10, 11, 20, 21, 30, 31, …}.</w:t>
      </w:r>
    </w:p>
    <w:p w14:paraId="2BE1C411" w14:textId="3234714D" w:rsidR="00940832" w:rsidRDefault="00940832" w:rsidP="009B7BF9">
      <w:r>
        <w:t>Assume the gNB intend to operate with a frame structure of DDSU, with the periodicity of 2 ms.</w:t>
      </w:r>
      <w:r w:rsidR="00162A09">
        <w:t xml:space="preserve"> This is shown as the frame structure that the gNB operates with in Figure 2. However, the semi-static configuration cannot be set as DDSU, as </w:t>
      </w:r>
      <w:r w:rsidR="00682542">
        <w:t>some</w:t>
      </w:r>
      <w:r w:rsidR="00162A09">
        <w:t xml:space="preserve"> of the U slots would collide with some SSB transmission.</w:t>
      </w:r>
      <w:r w:rsidR="00682542">
        <w:t xml:space="preserve">To avoid colliding with SSB, the gNB would need to </w:t>
      </w:r>
      <w:r w:rsidR="00682542">
        <w:lastRenderedPageBreak/>
        <w:t xml:space="preserve">set these symbols as flexible. Figure 2 shows one of such a semi-static configuration. It can be seen that only very few </w:t>
      </w:r>
      <w:r w:rsidR="00B41A5F">
        <w:t>symbols can be set as UL, while the remaining UL symbols have to be set as flexible.</w:t>
      </w:r>
    </w:p>
    <w:p w14:paraId="20EB6846" w14:textId="089683B6" w:rsidR="00D90789" w:rsidRDefault="00D90789" w:rsidP="009B7BF9">
      <w:r>
        <w:t>If the gNB wants to use a higher UL ratio, more flexible symbols are needed. As a somewhat extreme case to support SUUU frame structure, most of the UL symbols need to be set to flexible. This would basically defeat the whole purpose of having the semi-static configuration, as it does not carry much information about the frame structure.</w:t>
      </w:r>
    </w:p>
    <w:p w14:paraId="11479F5B" w14:textId="03B92F6B" w:rsidR="00975DDA" w:rsidRDefault="00975DDA" w:rsidP="009B7BF9"/>
    <w:p w14:paraId="725CC8AD" w14:textId="141AEC3D" w:rsidR="00975DDA" w:rsidRDefault="00975DDA" w:rsidP="009B7BF9">
      <w:r>
        <w:t xml:space="preserve">Form these two examples, we can see that requiring SSB not colliding with semi-static UL can be restrictive, and may require the gNB to set a lot of flexible symbols. On the other hand, </w:t>
      </w:r>
      <w:r w:rsidR="009A40D9">
        <w:t>if we remove this constraint, the semi-static configuration can be set without considering SSB, which could exactly match the operating frame structure. However, semi-static UL, or other signalling, should not override the direction in SSB symbols.</w:t>
      </w:r>
    </w:p>
    <w:p w14:paraId="1D8E815D" w14:textId="10DD06EB" w:rsidR="00333B31" w:rsidRPr="00D10B56" w:rsidRDefault="00345B27" w:rsidP="009B7BF9">
      <w:pPr>
        <w:rPr>
          <w:b/>
        </w:rPr>
      </w:pPr>
      <w:r w:rsidRPr="00D10B56">
        <w:rPr>
          <w:b/>
        </w:rPr>
        <w:t xml:space="preserve">Proposal 2: It is allowed to configure the SSB symbols as sem-static UL. However, </w:t>
      </w:r>
      <w:r w:rsidR="006724C2" w:rsidRPr="00D10B56">
        <w:rPr>
          <w:b/>
        </w:rPr>
        <w:t xml:space="preserve">the SSB symbols should </w:t>
      </w:r>
      <w:r w:rsidRPr="00D10B56">
        <w:rPr>
          <w:b/>
        </w:rPr>
        <w:t xml:space="preserve">always </w:t>
      </w:r>
      <w:r w:rsidR="006724C2" w:rsidRPr="00D10B56">
        <w:rPr>
          <w:b/>
        </w:rPr>
        <w:t xml:space="preserve">be </w:t>
      </w:r>
      <w:r w:rsidRPr="00D10B56">
        <w:rPr>
          <w:b/>
        </w:rPr>
        <w:t>considered as</w:t>
      </w:r>
      <w:r w:rsidR="006724C2" w:rsidRPr="00D10B56">
        <w:rPr>
          <w:b/>
        </w:rPr>
        <w:t xml:space="preserve"> DL symbols</w:t>
      </w:r>
      <w:r w:rsidRPr="00D10B56">
        <w:rPr>
          <w:b/>
        </w:rPr>
        <w:t xml:space="preserve"> by the UE</w:t>
      </w:r>
      <w:r w:rsidR="006724C2" w:rsidRPr="00D10B56">
        <w:rPr>
          <w:b/>
        </w:rPr>
        <w:t>, regardless of any signalling.</w:t>
      </w:r>
    </w:p>
    <w:p w14:paraId="1B968D85" w14:textId="77777777" w:rsidR="003578D2" w:rsidRPr="00DC4600" w:rsidRDefault="003578D2" w:rsidP="00DC4600"/>
    <w:p w14:paraId="1273B322" w14:textId="7BF2745F" w:rsidR="0041184F" w:rsidRDefault="0041184F" w:rsidP="0041184F">
      <w:pPr>
        <w:pStyle w:val="Heading1"/>
        <w:rPr>
          <w:color w:val="000000"/>
        </w:rPr>
      </w:pPr>
      <w:r>
        <w:rPr>
          <w:color w:val="000000"/>
        </w:rPr>
        <w:t>4</w:t>
      </w:r>
      <w:r w:rsidRPr="00A51522">
        <w:rPr>
          <w:color w:val="000000"/>
        </w:rPr>
        <w:tab/>
      </w:r>
      <w:r>
        <w:rPr>
          <w:color w:val="000000"/>
        </w:rPr>
        <w:t>Conclusion</w:t>
      </w:r>
    </w:p>
    <w:p w14:paraId="3D73B11C" w14:textId="6CB56698" w:rsidR="00DC4600" w:rsidRDefault="0041184F" w:rsidP="009C366D">
      <w:pPr>
        <w:rPr>
          <w:lang w:eastAsia="zh-CN"/>
        </w:rPr>
      </w:pPr>
      <w:r>
        <w:rPr>
          <w:lang w:eastAsia="zh-CN"/>
        </w:rPr>
        <w:t>We have discussed the remaining issues on UE behaviors related to slot configuration, and have proposed the following:</w:t>
      </w:r>
    </w:p>
    <w:p w14:paraId="00CC1AE8" w14:textId="77777777" w:rsidR="00DE6B0D" w:rsidRPr="00CE0C84" w:rsidRDefault="00DE6B0D" w:rsidP="00DE6B0D">
      <w:pPr>
        <w:rPr>
          <w:b/>
          <w:lang w:val="fi-FI"/>
        </w:rPr>
      </w:pPr>
      <w:r w:rsidRPr="00056454">
        <w:rPr>
          <w:b/>
          <w:lang w:val="fi-FI"/>
        </w:rPr>
        <w:t>Proposal 1: For flexible symbols in semi-static UL-DL configuration, when a UE is configured to monitor SFI but does not receive a SFI</w:t>
      </w:r>
      <w:r>
        <w:rPr>
          <w:b/>
          <w:lang w:val="fi-FI"/>
        </w:rPr>
        <w:t xml:space="preserve"> for these symbols</w:t>
      </w:r>
      <w:r w:rsidRPr="00056454">
        <w:rPr>
          <w:b/>
          <w:lang w:val="fi-FI"/>
        </w:rPr>
        <w:t xml:space="preserve">, the UE shall cancel all </w:t>
      </w:r>
      <w:r w:rsidRPr="00CE0C84">
        <w:rPr>
          <w:b/>
          <w:lang w:val="fi-FI"/>
        </w:rPr>
        <w:t xml:space="preserve">the </w:t>
      </w:r>
      <w:r w:rsidRPr="00CE0C84">
        <w:rPr>
          <w:b/>
        </w:rPr>
        <w:t>“</w:t>
      </w:r>
      <w:r w:rsidRPr="00056454">
        <w:rPr>
          <w:b/>
          <w:lang w:val="fi-FI"/>
        </w:rPr>
        <w:t>measurements</w:t>
      </w:r>
      <w:r w:rsidRPr="00CE0C84">
        <w:rPr>
          <w:b/>
        </w:rPr>
        <w:t>” in these symbols</w:t>
      </w:r>
      <w:r w:rsidRPr="00CE0C84">
        <w:rPr>
          <w:b/>
          <w:lang w:val="fi-FI"/>
        </w:rPr>
        <w:t>.</w:t>
      </w:r>
    </w:p>
    <w:p w14:paraId="7A9E5A3F" w14:textId="77777777" w:rsidR="00DA3B8E" w:rsidRPr="00D10B56" w:rsidRDefault="00DA3B8E" w:rsidP="00DA3B8E">
      <w:pPr>
        <w:rPr>
          <w:b/>
        </w:rPr>
      </w:pPr>
      <w:r w:rsidRPr="00D10B56">
        <w:rPr>
          <w:b/>
        </w:rPr>
        <w:t>Proposal 2: It is allowed to configure the SSB symbols as sem-static UL. However, the SSB symbols should always be considered as DL symbols by the UE, regardless of any signalling.</w:t>
      </w:r>
    </w:p>
    <w:p w14:paraId="062DC65D" w14:textId="26C8C940" w:rsidR="0041184F" w:rsidRDefault="0041184F" w:rsidP="00DE6B0D">
      <w:pPr>
        <w:rPr>
          <w:lang w:eastAsia="zh-CN"/>
        </w:rPr>
      </w:pPr>
    </w:p>
    <w:sectPr w:rsidR="0041184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448E8" w14:textId="77777777" w:rsidR="006974B8" w:rsidRDefault="006974B8">
      <w:r>
        <w:separator/>
      </w:r>
    </w:p>
  </w:endnote>
  <w:endnote w:type="continuationSeparator" w:id="0">
    <w:p w14:paraId="3A5099E1" w14:textId="77777777" w:rsidR="006974B8" w:rsidRDefault="0069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2B8DD" w14:textId="77777777" w:rsidR="006974B8" w:rsidRDefault="006974B8">
      <w:r>
        <w:separator/>
      </w:r>
    </w:p>
  </w:footnote>
  <w:footnote w:type="continuationSeparator" w:id="0">
    <w:p w14:paraId="0164D83D" w14:textId="77777777" w:rsidR="006974B8" w:rsidRDefault="00697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1C2"/>
    <w:multiLevelType w:val="hybridMultilevel"/>
    <w:tmpl w:val="1520EF0E"/>
    <w:lvl w:ilvl="0" w:tplc="1CF42B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1449A8"/>
    <w:multiLevelType w:val="hybridMultilevel"/>
    <w:tmpl w:val="41B2A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7D7178F"/>
    <w:multiLevelType w:val="hybridMultilevel"/>
    <w:tmpl w:val="1F984F20"/>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0" w15:restartNumberingAfterBreak="0">
    <w:nsid w:val="64042D52"/>
    <w:multiLevelType w:val="hybridMultilevel"/>
    <w:tmpl w:val="193E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7"/>
  </w:num>
  <w:num w:numId="4">
    <w:abstractNumId w:val="1"/>
  </w:num>
  <w:num w:numId="5">
    <w:abstractNumId w:val="9"/>
  </w:num>
  <w:num w:numId="6">
    <w:abstractNumId w:val="2"/>
  </w:num>
  <w:num w:numId="7">
    <w:abstractNumId w:val="11"/>
  </w:num>
  <w:num w:numId="8">
    <w:abstractNumId w:val="8"/>
  </w:num>
  <w:num w:numId="9">
    <w:abstractNumId w:val="4"/>
  </w:num>
  <w:num w:numId="10">
    <w:abstractNumId w:val="6"/>
  </w:num>
  <w:num w:numId="11">
    <w:abstractNumId w:val="4"/>
  </w:num>
  <w:num w:numId="12">
    <w:abstractNumId w:val="13"/>
  </w:num>
  <w:num w:numId="13">
    <w:abstractNumId w:val="12"/>
  </w:num>
  <w:num w:numId="14">
    <w:abstractNumId w:val="3"/>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7B7F"/>
    <w:rsid w:val="00017EDA"/>
    <w:rsid w:val="000212A5"/>
    <w:rsid w:val="00022B8C"/>
    <w:rsid w:val="00023742"/>
    <w:rsid w:val="00024AEF"/>
    <w:rsid w:val="00026C65"/>
    <w:rsid w:val="00026E5F"/>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454"/>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596"/>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086"/>
    <w:rsid w:val="000D0BD6"/>
    <w:rsid w:val="000D0C61"/>
    <w:rsid w:val="000D27AD"/>
    <w:rsid w:val="000D29D1"/>
    <w:rsid w:val="000D2B0A"/>
    <w:rsid w:val="000D3286"/>
    <w:rsid w:val="000D344D"/>
    <w:rsid w:val="000D40E7"/>
    <w:rsid w:val="000D584F"/>
    <w:rsid w:val="000D68A0"/>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BA8"/>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09"/>
    <w:rsid w:val="00150175"/>
    <w:rsid w:val="001502C8"/>
    <w:rsid w:val="00151011"/>
    <w:rsid w:val="00151224"/>
    <w:rsid w:val="00151284"/>
    <w:rsid w:val="0015130F"/>
    <w:rsid w:val="001532BA"/>
    <w:rsid w:val="00155BFD"/>
    <w:rsid w:val="00156ABA"/>
    <w:rsid w:val="00157390"/>
    <w:rsid w:val="00160998"/>
    <w:rsid w:val="00160CD6"/>
    <w:rsid w:val="00160F5F"/>
    <w:rsid w:val="0016100A"/>
    <w:rsid w:val="00162308"/>
    <w:rsid w:val="00162A09"/>
    <w:rsid w:val="0016316A"/>
    <w:rsid w:val="0016381F"/>
    <w:rsid w:val="00163D1D"/>
    <w:rsid w:val="00164171"/>
    <w:rsid w:val="00164E58"/>
    <w:rsid w:val="00165033"/>
    <w:rsid w:val="001665EB"/>
    <w:rsid w:val="001670EA"/>
    <w:rsid w:val="001674A0"/>
    <w:rsid w:val="00170A50"/>
    <w:rsid w:val="00174FFD"/>
    <w:rsid w:val="001759CA"/>
    <w:rsid w:val="001769A8"/>
    <w:rsid w:val="0017726A"/>
    <w:rsid w:val="00177DD3"/>
    <w:rsid w:val="00180278"/>
    <w:rsid w:val="001807F2"/>
    <w:rsid w:val="001818A7"/>
    <w:rsid w:val="0018218E"/>
    <w:rsid w:val="00182725"/>
    <w:rsid w:val="001829C8"/>
    <w:rsid w:val="00186904"/>
    <w:rsid w:val="00186B0A"/>
    <w:rsid w:val="001905BD"/>
    <w:rsid w:val="00192FE6"/>
    <w:rsid w:val="0019360B"/>
    <w:rsid w:val="00193986"/>
    <w:rsid w:val="00193B08"/>
    <w:rsid w:val="00194570"/>
    <w:rsid w:val="00196BF4"/>
    <w:rsid w:val="001972DA"/>
    <w:rsid w:val="001976AA"/>
    <w:rsid w:val="00197B29"/>
    <w:rsid w:val="001A02F6"/>
    <w:rsid w:val="001A0783"/>
    <w:rsid w:val="001A15C6"/>
    <w:rsid w:val="001A50AE"/>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4516"/>
    <w:rsid w:val="001C5296"/>
    <w:rsid w:val="001C66AC"/>
    <w:rsid w:val="001C6754"/>
    <w:rsid w:val="001C6852"/>
    <w:rsid w:val="001C77F0"/>
    <w:rsid w:val="001D30C9"/>
    <w:rsid w:val="001D445B"/>
    <w:rsid w:val="001D46A0"/>
    <w:rsid w:val="001D50C2"/>
    <w:rsid w:val="001D7CA4"/>
    <w:rsid w:val="001D7E58"/>
    <w:rsid w:val="001E0B0A"/>
    <w:rsid w:val="001E13B3"/>
    <w:rsid w:val="001E2DA0"/>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16AA"/>
    <w:rsid w:val="00204A2A"/>
    <w:rsid w:val="00204B22"/>
    <w:rsid w:val="00204B3A"/>
    <w:rsid w:val="0020535A"/>
    <w:rsid w:val="002055CB"/>
    <w:rsid w:val="002059EF"/>
    <w:rsid w:val="00205BDB"/>
    <w:rsid w:val="00206955"/>
    <w:rsid w:val="00210080"/>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124"/>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35A1"/>
    <w:rsid w:val="0027455B"/>
    <w:rsid w:val="00275074"/>
    <w:rsid w:val="002763E9"/>
    <w:rsid w:val="00276736"/>
    <w:rsid w:val="00276F4E"/>
    <w:rsid w:val="00277253"/>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FC4"/>
    <w:rsid w:val="002A1062"/>
    <w:rsid w:val="002A2012"/>
    <w:rsid w:val="002A2413"/>
    <w:rsid w:val="002A2F5E"/>
    <w:rsid w:val="002A352A"/>
    <w:rsid w:val="002A38E3"/>
    <w:rsid w:val="002A607D"/>
    <w:rsid w:val="002B132E"/>
    <w:rsid w:val="002B1499"/>
    <w:rsid w:val="002B2813"/>
    <w:rsid w:val="002B2D29"/>
    <w:rsid w:val="002B3BBD"/>
    <w:rsid w:val="002C0C4B"/>
    <w:rsid w:val="002C1EEA"/>
    <w:rsid w:val="002C47AD"/>
    <w:rsid w:val="002C5510"/>
    <w:rsid w:val="002C5B5D"/>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D51"/>
    <w:rsid w:val="002F503B"/>
    <w:rsid w:val="002F5755"/>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0ED"/>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7810"/>
    <w:rsid w:val="00340361"/>
    <w:rsid w:val="00340795"/>
    <w:rsid w:val="0034111C"/>
    <w:rsid w:val="00341E60"/>
    <w:rsid w:val="0034217F"/>
    <w:rsid w:val="00342AD2"/>
    <w:rsid w:val="00343954"/>
    <w:rsid w:val="00345405"/>
    <w:rsid w:val="00345B27"/>
    <w:rsid w:val="00345DDD"/>
    <w:rsid w:val="00346FED"/>
    <w:rsid w:val="00351E01"/>
    <w:rsid w:val="00352968"/>
    <w:rsid w:val="0035298B"/>
    <w:rsid w:val="00352D21"/>
    <w:rsid w:val="0035443D"/>
    <w:rsid w:val="00354FEE"/>
    <w:rsid w:val="00356275"/>
    <w:rsid w:val="00356C0B"/>
    <w:rsid w:val="003578D2"/>
    <w:rsid w:val="00357B9C"/>
    <w:rsid w:val="00361412"/>
    <w:rsid w:val="003615CA"/>
    <w:rsid w:val="00363B2C"/>
    <w:rsid w:val="003642A6"/>
    <w:rsid w:val="00364763"/>
    <w:rsid w:val="00365C3D"/>
    <w:rsid w:val="00367337"/>
    <w:rsid w:val="00367367"/>
    <w:rsid w:val="00367FD8"/>
    <w:rsid w:val="0037004E"/>
    <w:rsid w:val="00370B63"/>
    <w:rsid w:val="00370C08"/>
    <w:rsid w:val="00370FCC"/>
    <w:rsid w:val="003711AF"/>
    <w:rsid w:val="003735C6"/>
    <w:rsid w:val="00374848"/>
    <w:rsid w:val="003757A1"/>
    <w:rsid w:val="00375D09"/>
    <w:rsid w:val="003762DC"/>
    <w:rsid w:val="0037739D"/>
    <w:rsid w:val="0037751C"/>
    <w:rsid w:val="00380B66"/>
    <w:rsid w:val="00380D1A"/>
    <w:rsid w:val="00380F3F"/>
    <w:rsid w:val="00381953"/>
    <w:rsid w:val="00382232"/>
    <w:rsid w:val="00382F1A"/>
    <w:rsid w:val="00383282"/>
    <w:rsid w:val="00383422"/>
    <w:rsid w:val="00383658"/>
    <w:rsid w:val="0038412E"/>
    <w:rsid w:val="003844F0"/>
    <w:rsid w:val="00386053"/>
    <w:rsid w:val="0038771D"/>
    <w:rsid w:val="003902C9"/>
    <w:rsid w:val="00390935"/>
    <w:rsid w:val="00392491"/>
    <w:rsid w:val="003935B0"/>
    <w:rsid w:val="00393E44"/>
    <w:rsid w:val="00394301"/>
    <w:rsid w:val="003961F0"/>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1DF6"/>
    <w:rsid w:val="003D232D"/>
    <w:rsid w:val="003D2938"/>
    <w:rsid w:val="003D3FBA"/>
    <w:rsid w:val="003D402B"/>
    <w:rsid w:val="003D54B0"/>
    <w:rsid w:val="003D764F"/>
    <w:rsid w:val="003E0042"/>
    <w:rsid w:val="003E0667"/>
    <w:rsid w:val="003E0BCE"/>
    <w:rsid w:val="003E13E0"/>
    <w:rsid w:val="003E1660"/>
    <w:rsid w:val="003E17CD"/>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073D6"/>
    <w:rsid w:val="0041184F"/>
    <w:rsid w:val="0041443C"/>
    <w:rsid w:val="0041488F"/>
    <w:rsid w:val="004154F7"/>
    <w:rsid w:val="00415D7A"/>
    <w:rsid w:val="00416D44"/>
    <w:rsid w:val="004176FF"/>
    <w:rsid w:val="00421A27"/>
    <w:rsid w:val="00421D0A"/>
    <w:rsid w:val="004226C3"/>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87CC1"/>
    <w:rsid w:val="0049070D"/>
    <w:rsid w:val="00490A39"/>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7FF"/>
    <w:rsid w:val="004F1CD3"/>
    <w:rsid w:val="004F1EBC"/>
    <w:rsid w:val="004F20E8"/>
    <w:rsid w:val="004F3172"/>
    <w:rsid w:val="004F3B71"/>
    <w:rsid w:val="004F3FE5"/>
    <w:rsid w:val="004F5154"/>
    <w:rsid w:val="004F5835"/>
    <w:rsid w:val="004F661C"/>
    <w:rsid w:val="004F6873"/>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3BF8"/>
    <w:rsid w:val="005340C9"/>
    <w:rsid w:val="00536698"/>
    <w:rsid w:val="005375FE"/>
    <w:rsid w:val="00540BFC"/>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2FFC"/>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101E"/>
    <w:rsid w:val="005D1B7F"/>
    <w:rsid w:val="005D21B7"/>
    <w:rsid w:val="005D320D"/>
    <w:rsid w:val="005D4302"/>
    <w:rsid w:val="005D5A20"/>
    <w:rsid w:val="005D786C"/>
    <w:rsid w:val="005E00E5"/>
    <w:rsid w:val="005E0148"/>
    <w:rsid w:val="005E049F"/>
    <w:rsid w:val="005E0BB6"/>
    <w:rsid w:val="005E3073"/>
    <w:rsid w:val="005E316A"/>
    <w:rsid w:val="005E7088"/>
    <w:rsid w:val="005E7B95"/>
    <w:rsid w:val="005E7E1B"/>
    <w:rsid w:val="005F0108"/>
    <w:rsid w:val="005F0ECC"/>
    <w:rsid w:val="005F21A5"/>
    <w:rsid w:val="005F2470"/>
    <w:rsid w:val="005F26D5"/>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2578"/>
    <w:rsid w:val="006539E8"/>
    <w:rsid w:val="00654CBC"/>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72F"/>
    <w:rsid w:val="0066699A"/>
    <w:rsid w:val="00666DFC"/>
    <w:rsid w:val="00666EBB"/>
    <w:rsid w:val="0066779E"/>
    <w:rsid w:val="00667FAF"/>
    <w:rsid w:val="0067096D"/>
    <w:rsid w:val="00670AF4"/>
    <w:rsid w:val="006719E0"/>
    <w:rsid w:val="006724C2"/>
    <w:rsid w:val="0067258D"/>
    <w:rsid w:val="0067269D"/>
    <w:rsid w:val="00672988"/>
    <w:rsid w:val="00672C64"/>
    <w:rsid w:val="00674E6A"/>
    <w:rsid w:val="00675CF4"/>
    <w:rsid w:val="00676A64"/>
    <w:rsid w:val="00677925"/>
    <w:rsid w:val="00680F46"/>
    <w:rsid w:val="0068135E"/>
    <w:rsid w:val="00681FDC"/>
    <w:rsid w:val="00682542"/>
    <w:rsid w:val="00682B53"/>
    <w:rsid w:val="00682F27"/>
    <w:rsid w:val="006859DB"/>
    <w:rsid w:val="0068678D"/>
    <w:rsid w:val="00687488"/>
    <w:rsid w:val="006904ED"/>
    <w:rsid w:val="00690E2E"/>
    <w:rsid w:val="006915D7"/>
    <w:rsid w:val="00692814"/>
    <w:rsid w:val="006932E7"/>
    <w:rsid w:val="00693347"/>
    <w:rsid w:val="0069334C"/>
    <w:rsid w:val="00696D63"/>
    <w:rsid w:val="006974B8"/>
    <w:rsid w:val="006A032F"/>
    <w:rsid w:val="006A146E"/>
    <w:rsid w:val="006A1BEB"/>
    <w:rsid w:val="006A41AE"/>
    <w:rsid w:val="006A4856"/>
    <w:rsid w:val="006A4B51"/>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5F2F"/>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84B"/>
    <w:rsid w:val="0073124A"/>
    <w:rsid w:val="00731B79"/>
    <w:rsid w:val="007320A2"/>
    <w:rsid w:val="00733893"/>
    <w:rsid w:val="00734A05"/>
    <w:rsid w:val="00735125"/>
    <w:rsid w:val="00735C6F"/>
    <w:rsid w:val="00742A6A"/>
    <w:rsid w:val="00742B44"/>
    <w:rsid w:val="007472D5"/>
    <w:rsid w:val="00751864"/>
    <w:rsid w:val="00753BB5"/>
    <w:rsid w:val="00755E4A"/>
    <w:rsid w:val="00756832"/>
    <w:rsid w:val="007626D0"/>
    <w:rsid w:val="00763A29"/>
    <w:rsid w:val="007651CA"/>
    <w:rsid w:val="00767519"/>
    <w:rsid w:val="007704E1"/>
    <w:rsid w:val="00770E5C"/>
    <w:rsid w:val="00772569"/>
    <w:rsid w:val="0077283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2EF7"/>
    <w:rsid w:val="007B3502"/>
    <w:rsid w:val="007B3E6D"/>
    <w:rsid w:val="007B44ED"/>
    <w:rsid w:val="007B491A"/>
    <w:rsid w:val="007B5370"/>
    <w:rsid w:val="007B61F5"/>
    <w:rsid w:val="007B63FA"/>
    <w:rsid w:val="007B7496"/>
    <w:rsid w:val="007C0385"/>
    <w:rsid w:val="007C0802"/>
    <w:rsid w:val="007C12BE"/>
    <w:rsid w:val="007C2739"/>
    <w:rsid w:val="007C4B0F"/>
    <w:rsid w:val="007C4DAD"/>
    <w:rsid w:val="007C5830"/>
    <w:rsid w:val="007C5DB8"/>
    <w:rsid w:val="007C5DCE"/>
    <w:rsid w:val="007C6CA2"/>
    <w:rsid w:val="007D05B2"/>
    <w:rsid w:val="007D0C44"/>
    <w:rsid w:val="007D1972"/>
    <w:rsid w:val="007D1F33"/>
    <w:rsid w:val="007D23D2"/>
    <w:rsid w:val="007D3307"/>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3A03"/>
    <w:rsid w:val="008055A9"/>
    <w:rsid w:val="0080742D"/>
    <w:rsid w:val="0080780F"/>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27A9"/>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5C2"/>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36C"/>
    <w:rsid w:val="008908E5"/>
    <w:rsid w:val="00891216"/>
    <w:rsid w:val="00893D22"/>
    <w:rsid w:val="00894B58"/>
    <w:rsid w:val="00894FDC"/>
    <w:rsid w:val="008957D3"/>
    <w:rsid w:val="00896414"/>
    <w:rsid w:val="0089716F"/>
    <w:rsid w:val="00897C71"/>
    <w:rsid w:val="008A0F54"/>
    <w:rsid w:val="008A16F9"/>
    <w:rsid w:val="008A1D3E"/>
    <w:rsid w:val="008A2FD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492A"/>
    <w:rsid w:val="008D4B58"/>
    <w:rsid w:val="008D4B7F"/>
    <w:rsid w:val="008D4B8A"/>
    <w:rsid w:val="008D4D68"/>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8F7D89"/>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1A6D"/>
    <w:rsid w:val="009230A6"/>
    <w:rsid w:val="00924627"/>
    <w:rsid w:val="009250A8"/>
    <w:rsid w:val="00925BE6"/>
    <w:rsid w:val="00926697"/>
    <w:rsid w:val="00926F61"/>
    <w:rsid w:val="00926FA9"/>
    <w:rsid w:val="0093123D"/>
    <w:rsid w:val="00933040"/>
    <w:rsid w:val="009330E9"/>
    <w:rsid w:val="00934D97"/>
    <w:rsid w:val="00935D15"/>
    <w:rsid w:val="00940832"/>
    <w:rsid w:val="009411FB"/>
    <w:rsid w:val="009414A9"/>
    <w:rsid w:val="0094192F"/>
    <w:rsid w:val="00941B71"/>
    <w:rsid w:val="00941DF9"/>
    <w:rsid w:val="009421AD"/>
    <w:rsid w:val="0094221C"/>
    <w:rsid w:val="00942280"/>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5DDA"/>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0D9"/>
    <w:rsid w:val="009A45A2"/>
    <w:rsid w:val="009A6919"/>
    <w:rsid w:val="009A6AC7"/>
    <w:rsid w:val="009B0408"/>
    <w:rsid w:val="009B0843"/>
    <w:rsid w:val="009B0DEE"/>
    <w:rsid w:val="009B0EF4"/>
    <w:rsid w:val="009B1335"/>
    <w:rsid w:val="009B176D"/>
    <w:rsid w:val="009B1E47"/>
    <w:rsid w:val="009B2CED"/>
    <w:rsid w:val="009B3054"/>
    <w:rsid w:val="009B335D"/>
    <w:rsid w:val="009B3C90"/>
    <w:rsid w:val="009B7A72"/>
    <w:rsid w:val="009B7BB8"/>
    <w:rsid w:val="009B7BF9"/>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469E"/>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72A"/>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654"/>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13A"/>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2C1"/>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BC4"/>
    <w:rsid w:val="00AD2DC5"/>
    <w:rsid w:val="00AD3455"/>
    <w:rsid w:val="00AD3CAD"/>
    <w:rsid w:val="00AD5A99"/>
    <w:rsid w:val="00AD69FF"/>
    <w:rsid w:val="00AD702B"/>
    <w:rsid w:val="00AD72E6"/>
    <w:rsid w:val="00AD7C95"/>
    <w:rsid w:val="00AD7FCD"/>
    <w:rsid w:val="00AE2BED"/>
    <w:rsid w:val="00AE3DE1"/>
    <w:rsid w:val="00AE5183"/>
    <w:rsid w:val="00AE5439"/>
    <w:rsid w:val="00AE61B2"/>
    <w:rsid w:val="00AE78D1"/>
    <w:rsid w:val="00AE7F89"/>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5E90"/>
    <w:rsid w:val="00B1746F"/>
    <w:rsid w:val="00B20725"/>
    <w:rsid w:val="00B2087E"/>
    <w:rsid w:val="00B20B94"/>
    <w:rsid w:val="00B248D0"/>
    <w:rsid w:val="00B252E8"/>
    <w:rsid w:val="00B2628E"/>
    <w:rsid w:val="00B266B0"/>
    <w:rsid w:val="00B27921"/>
    <w:rsid w:val="00B3000E"/>
    <w:rsid w:val="00B31667"/>
    <w:rsid w:val="00B326A8"/>
    <w:rsid w:val="00B329EB"/>
    <w:rsid w:val="00B32FCD"/>
    <w:rsid w:val="00B33508"/>
    <w:rsid w:val="00B3377E"/>
    <w:rsid w:val="00B35DA4"/>
    <w:rsid w:val="00B40A96"/>
    <w:rsid w:val="00B4184B"/>
    <w:rsid w:val="00B41A5F"/>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B93"/>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4AFC"/>
    <w:rsid w:val="00BA76A9"/>
    <w:rsid w:val="00BB3E2B"/>
    <w:rsid w:val="00BB5D1C"/>
    <w:rsid w:val="00BB6552"/>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6513"/>
    <w:rsid w:val="00BD70EC"/>
    <w:rsid w:val="00BD75B4"/>
    <w:rsid w:val="00BD7D14"/>
    <w:rsid w:val="00BE02B4"/>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9BD"/>
    <w:rsid w:val="00C13D47"/>
    <w:rsid w:val="00C14164"/>
    <w:rsid w:val="00C14C53"/>
    <w:rsid w:val="00C15D8E"/>
    <w:rsid w:val="00C17012"/>
    <w:rsid w:val="00C178FB"/>
    <w:rsid w:val="00C17DF9"/>
    <w:rsid w:val="00C20ACC"/>
    <w:rsid w:val="00C2139F"/>
    <w:rsid w:val="00C22B28"/>
    <w:rsid w:val="00C257B7"/>
    <w:rsid w:val="00C272E8"/>
    <w:rsid w:val="00C30B60"/>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CC"/>
    <w:rsid w:val="00CA4F8B"/>
    <w:rsid w:val="00CA5445"/>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AA"/>
    <w:rsid w:val="00CC4C2C"/>
    <w:rsid w:val="00CC5057"/>
    <w:rsid w:val="00CD03A6"/>
    <w:rsid w:val="00CD078F"/>
    <w:rsid w:val="00CD121E"/>
    <w:rsid w:val="00CD185D"/>
    <w:rsid w:val="00CD28F0"/>
    <w:rsid w:val="00CD3ED8"/>
    <w:rsid w:val="00CD4F56"/>
    <w:rsid w:val="00CD761D"/>
    <w:rsid w:val="00CD76B5"/>
    <w:rsid w:val="00CE0C84"/>
    <w:rsid w:val="00CE2323"/>
    <w:rsid w:val="00CE2346"/>
    <w:rsid w:val="00CE536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0B56"/>
    <w:rsid w:val="00D12325"/>
    <w:rsid w:val="00D12761"/>
    <w:rsid w:val="00D14487"/>
    <w:rsid w:val="00D15E7E"/>
    <w:rsid w:val="00D16058"/>
    <w:rsid w:val="00D16FDD"/>
    <w:rsid w:val="00D20016"/>
    <w:rsid w:val="00D207A7"/>
    <w:rsid w:val="00D22029"/>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37E9A"/>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23E"/>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789"/>
    <w:rsid w:val="00D930E1"/>
    <w:rsid w:val="00D9354D"/>
    <w:rsid w:val="00D9415C"/>
    <w:rsid w:val="00D942CC"/>
    <w:rsid w:val="00D944E4"/>
    <w:rsid w:val="00D94D87"/>
    <w:rsid w:val="00D95B31"/>
    <w:rsid w:val="00D95DCC"/>
    <w:rsid w:val="00D962DC"/>
    <w:rsid w:val="00DA180C"/>
    <w:rsid w:val="00DA18A2"/>
    <w:rsid w:val="00DA3B8E"/>
    <w:rsid w:val="00DA3E25"/>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4600"/>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5685"/>
    <w:rsid w:val="00DE6B0D"/>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062"/>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0181"/>
    <w:rsid w:val="00E73AB7"/>
    <w:rsid w:val="00E74F5D"/>
    <w:rsid w:val="00E76034"/>
    <w:rsid w:val="00E77774"/>
    <w:rsid w:val="00E80440"/>
    <w:rsid w:val="00E81592"/>
    <w:rsid w:val="00E817E0"/>
    <w:rsid w:val="00E82EE4"/>
    <w:rsid w:val="00E831E7"/>
    <w:rsid w:val="00E843B5"/>
    <w:rsid w:val="00E84A3B"/>
    <w:rsid w:val="00E851FF"/>
    <w:rsid w:val="00E85307"/>
    <w:rsid w:val="00E856DF"/>
    <w:rsid w:val="00E85B0A"/>
    <w:rsid w:val="00E87742"/>
    <w:rsid w:val="00E907E4"/>
    <w:rsid w:val="00E90A24"/>
    <w:rsid w:val="00E90C34"/>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62C"/>
    <w:rsid w:val="00F05759"/>
    <w:rsid w:val="00F064EC"/>
    <w:rsid w:val="00F07F39"/>
    <w:rsid w:val="00F10CB9"/>
    <w:rsid w:val="00F110D5"/>
    <w:rsid w:val="00F12351"/>
    <w:rsid w:val="00F15193"/>
    <w:rsid w:val="00F16739"/>
    <w:rsid w:val="00F16DE2"/>
    <w:rsid w:val="00F2052B"/>
    <w:rsid w:val="00F2260F"/>
    <w:rsid w:val="00F22CED"/>
    <w:rsid w:val="00F242AD"/>
    <w:rsid w:val="00F247F2"/>
    <w:rsid w:val="00F2518F"/>
    <w:rsid w:val="00F252A8"/>
    <w:rsid w:val="00F25769"/>
    <w:rsid w:val="00F265F7"/>
    <w:rsid w:val="00F27FA6"/>
    <w:rsid w:val="00F33DC8"/>
    <w:rsid w:val="00F34444"/>
    <w:rsid w:val="00F378F1"/>
    <w:rsid w:val="00F403A1"/>
    <w:rsid w:val="00F403DB"/>
    <w:rsid w:val="00F4065A"/>
    <w:rsid w:val="00F4275C"/>
    <w:rsid w:val="00F4394D"/>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415E"/>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1176"/>
    <w:rsid w:val="00FA3071"/>
    <w:rsid w:val="00FA31E7"/>
    <w:rsid w:val="00FA413A"/>
    <w:rsid w:val="00FA4144"/>
    <w:rsid w:val="00FA4DDF"/>
    <w:rsid w:val="00FA5756"/>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4542"/>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71"/>
    <w:rsid w:val="00FE002E"/>
    <w:rsid w:val="00FE2398"/>
    <w:rsid w:val="00FE515A"/>
    <w:rsid w:val="00FE5421"/>
    <w:rsid w:val="00FE5624"/>
    <w:rsid w:val="00FE5D2C"/>
    <w:rsid w:val="00FE5FBF"/>
    <w:rsid w:val="00FE6C25"/>
    <w:rsid w:val="00FE6C7A"/>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uiPriority w:val="99"/>
    <w:qFormat/>
    <w:rsid w:val="003578D2"/>
    <w:pPr>
      <w:numPr>
        <w:numId w:val="1"/>
      </w:numPr>
      <w:tabs>
        <w:tab w:val="num" w:pos="360"/>
      </w:tabs>
      <w:ind w:left="840" w:hanging="720"/>
    </w:pPr>
    <w:rPr>
      <w:rFonts w:ascii="Arial" w:eastAsiaTheme="minorEastAsia"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CF31C0B-A6BE-45C2-B48D-6A96CF63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Sigen Ye</cp:lastModifiedBy>
  <cp:revision>4</cp:revision>
  <cp:lastPrinted>2016-06-20T11:35:00Z</cp:lastPrinted>
  <dcterms:created xsi:type="dcterms:W3CDTF">2018-02-15T14:31:00Z</dcterms:created>
  <dcterms:modified xsi:type="dcterms:W3CDTF">2018-02-17T03:43:00Z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